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8B" w:rsidRDefault="0076578B" w:rsidP="002B66D1">
      <w:pPr>
        <w:jc w:val="both"/>
        <w:rPr>
          <w:rFonts w:ascii="Arial" w:hAnsi="Arial" w:cs="Arial"/>
          <w:b/>
          <w:sz w:val="20"/>
        </w:rPr>
      </w:pPr>
      <w:r w:rsidRPr="0076578B">
        <w:rPr>
          <w:rFonts w:ascii="Arial" w:hAnsi="Arial" w:cs="Arial"/>
          <w:b/>
          <w:sz w:val="20"/>
        </w:rPr>
        <w:t>PTS</w:t>
      </w:r>
      <w:r>
        <w:rPr>
          <w:rFonts w:ascii="Arial" w:hAnsi="Arial" w:cs="Arial"/>
          <w:b/>
          <w:sz w:val="20"/>
        </w:rPr>
        <w:t xml:space="preserve">: </w:t>
      </w:r>
      <w:r w:rsidRPr="0076578B">
        <w:rPr>
          <w:rFonts w:ascii="Arial" w:hAnsi="Arial" w:cs="Arial"/>
          <w:b/>
          <w:sz w:val="20"/>
        </w:rPr>
        <w:t>Annual General Mandate</w:t>
      </w:r>
    </w:p>
    <w:p w:rsidR="0076578B" w:rsidRPr="0076578B" w:rsidRDefault="0076578B" w:rsidP="002B66D1">
      <w:pPr>
        <w:jc w:val="both"/>
        <w:rPr>
          <w:rFonts w:ascii="Arial" w:hAnsi="Arial" w:cs="Arial"/>
          <w:sz w:val="20"/>
        </w:rPr>
      </w:pPr>
      <w:r w:rsidRPr="0076578B">
        <w:rPr>
          <w:rFonts w:ascii="Arial" w:hAnsi="Arial" w:cs="Arial"/>
          <w:sz w:val="20"/>
        </w:rPr>
        <w:t xml:space="preserve">On 18/04/2017, Hai </w:t>
      </w:r>
      <w:proofErr w:type="spellStart"/>
      <w:r w:rsidRPr="0076578B">
        <w:rPr>
          <w:rFonts w:ascii="Arial" w:hAnsi="Arial" w:cs="Arial"/>
          <w:sz w:val="20"/>
        </w:rPr>
        <w:t>Phong</w:t>
      </w:r>
      <w:proofErr w:type="spellEnd"/>
      <w:r w:rsidRPr="0076578B">
        <w:rPr>
          <w:rFonts w:ascii="Arial" w:hAnsi="Arial" w:cs="Arial"/>
          <w:sz w:val="20"/>
        </w:rPr>
        <w:t xml:space="preserve"> </w:t>
      </w:r>
      <w:proofErr w:type="spellStart"/>
      <w:r w:rsidRPr="0076578B">
        <w:rPr>
          <w:rFonts w:ascii="Arial" w:hAnsi="Arial" w:cs="Arial"/>
          <w:sz w:val="20"/>
        </w:rPr>
        <w:t>Petrolimex</w:t>
      </w:r>
      <w:proofErr w:type="spellEnd"/>
      <w:r w:rsidRPr="0076578B">
        <w:rPr>
          <w:rFonts w:ascii="Arial" w:hAnsi="Arial" w:cs="Arial"/>
          <w:sz w:val="20"/>
        </w:rPr>
        <w:t xml:space="preserve"> Transportation and Services Joint Stock Company announced the </w:t>
      </w:r>
      <w:r w:rsidRPr="0076578B">
        <w:rPr>
          <w:rFonts w:ascii="Arial" w:hAnsi="Arial" w:cs="Arial"/>
          <w:sz w:val="20"/>
        </w:rPr>
        <w:t>Annual General Mandate</w:t>
      </w:r>
      <w:r w:rsidRPr="0076578B">
        <w:rPr>
          <w:rFonts w:ascii="Arial" w:hAnsi="Arial" w:cs="Arial"/>
          <w:sz w:val="20"/>
        </w:rPr>
        <w:t xml:space="preserve"> as follows:</w:t>
      </w:r>
    </w:p>
    <w:p w:rsidR="00B0479E" w:rsidRDefault="00582941" w:rsidP="002B66D1">
      <w:pPr>
        <w:jc w:val="both"/>
        <w:rPr>
          <w:rFonts w:ascii="Arial" w:hAnsi="Arial" w:cs="Arial"/>
          <w:sz w:val="20"/>
        </w:rPr>
      </w:pPr>
      <w:r w:rsidRPr="00513B2E">
        <w:rPr>
          <w:rFonts w:ascii="Arial" w:hAnsi="Arial" w:cs="Arial"/>
          <w:b/>
          <w:sz w:val="20"/>
        </w:rPr>
        <w:t>Article 1:</w:t>
      </w:r>
      <w:r>
        <w:rPr>
          <w:rFonts w:ascii="Arial" w:hAnsi="Arial" w:cs="Arial"/>
          <w:sz w:val="20"/>
        </w:rPr>
        <w:t xml:space="preserve"> Approve Report on 2016 business production result </w:t>
      </w:r>
      <w:r w:rsidR="001B52F8">
        <w:rPr>
          <w:rFonts w:ascii="Arial" w:hAnsi="Arial" w:cs="Arial"/>
          <w:sz w:val="20"/>
        </w:rPr>
        <w:t xml:space="preserve">with some major indicators confirmed by </w:t>
      </w:r>
      <w:proofErr w:type="gramStart"/>
      <w:r w:rsidR="001B52F8">
        <w:rPr>
          <w:rFonts w:ascii="Arial" w:hAnsi="Arial" w:cs="Arial"/>
          <w:sz w:val="20"/>
        </w:rPr>
        <w:t>An</w:t>
      </w:r>
      <w:proofErr w:type="gramEnd"/>
      <w:r w:rsidR="001B52F8">
        <w:rPr>
          <w:rFonts w:ascii="Arial" w:hAnsi="Arial" w:cs="Arial"/>
          <w:sz w:val="20"/>
        </w:rPr>
        <w:t xml:space="preserve"> Viet Auditing Company Limited as follows:</w:t>
      </w:r>
      <w:bookmarkStart w:id="0" w:name="_GoBack"/>
      <w:bookmarkEnd w:id="0"/>
    </w:p>
    <w:p w:rsidR="001B52F8" w:rsidRPr="00513B2E" w:rsidRDefault="001B52F8" w:rsidP="001B52F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20"/>
        </w:rPr>
      </w:pPr>
      <w:r w:rsidRPr="00513B2E">
        <w:rPr>
          <w:rFonts w:ascii="Arial" w:hAnsi="Arial" w:cs="Arial"/>
          <w:i/>
          <w:sz w:val="20"/>
        </w:rPr>
        <w:t>2016 business production result:</w:t>
      </w:r>
    </w:p>
    <w:p w:rsidR="001B52F8" w:rsidRDefault="001B52F8" w:rsidP="001B52F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Total revenue: 245.412 billion VND;</w:t>
      </w:r>
    </w:p>
    <w:p w:rsidR="001B52F8" w:rsidRDefault="001B52F8" w:rsidP="001B52F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Total profit before tax: 6.103 billion VND;</w:t>
      </w:r>
    </w:p>
    <w:p w:rsidR="001B52F8" w:rsidRDefault="001B52F8" w:rsidP="001B52F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Average income of employees: 8.107.000 VND / Person / Month;</w:t>
      </w:r>
    </w:p>
    <w:p w:rsidR="001B52F8" w:rsidRDefault="001B52F8" w:rsidP="000A64D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Total invested value (Including </w:t>
      </w:r>
      <w:r w:rsidR="000A64DA">
        <w:rPr>
          <w:rFonts w:ascii="Arial" w:hAnsi="Arial" w:cs="Arial"/>
          <w:sz w:val="20"/>
        </w:rPr>
        <w:t>m</w:t>
      </w:r>
      <w:r w:rsidR="000A64DA" w:rsidRPr="000A64DA">
        <w:rPr>
          <w:rFonts w:ascii="Arial" w:hAnsi="Arial" w:cs="Arial"/>
          <w:sz w:val="20"/>
        </w:rPr>
        <w:t>ajor repair</w:t>
      </w:r>
      <w:r w:rsidR="000A64DA">
        <w:rPr>
          <w:rFonts w:ascii="Arial" w:hAnsi="Arial" w:cs="Arial"/>
          <w:sz w:val="20"/>
        </w:rPr>
        <w:t>): 95.532 billion VND.</w:t>
      </w:r>
    </w:p>
    <w:p w:rsidR="000A64DA" w:rsidRPr="00513B2E" w:rsidRDefault="000A64DA" w:rsidP="004D379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20"/>
        </w:rPr>
      </w:pPr>
      <w:r w:rsidRPr="00513B2E">
        <w:rPr>
          <w:rFonts w:ascii="Arial" w:hAnsi="Arial" w:cs="Arial"/>
          <w:i/>
          <w:sz w:val="20"/>
        </w:rPr>
        <w:t>Financial i</w:t>
      </w:r>
      <w:r w:rsidR="004D379D" w:rsidRPr="00513B2E">
        <w:rPr>
          <w:rFonts w:ascii="Arial" w:hAnsi="Arial" w:cs="Arial"/>
          <w:i/>
          <w:sz w:val="20"/>
        </w:rPr>
        <w:t>ndicators as of 31/12/2016:</w:t>
      </w:r>
    </w:p>
    <w:p w:rsidR="004D379D" w:rsidRDefault="004D379D" w:rsidP="004D379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Total assets: 180.728.621.268 VND (Therein: Short-term asset: 51.930.672.456 VND</w:t>
      </w:r>
      <w:r w:rsidR="00412C18">
        <w:rPr>
          <w:rFonts w:ascii="Arial" w:hAnsi="Arial" w:cs="Arial"/>
          <w:sz w:val="20"/>
        </w:rPr>
        <w:t>, Long-term asset: 128.797.948.812 VND)</w:t>
      </w:r>
    </w:p>
    <w:p w:rsidR="00412C18" w:rsidRDefault="00412C18" w:rsidP="00C2251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Total capital: 180.728.621.268 VND (Therein: Liabilities: 92.757.953.665 VND, </w:t>
      </w:r>
      <w:r w:rsidR="00C22518" w:rsidRPr="00C22518">
        <w:rPr>
          <w:rFonts w:ascii="Arial" w:hAnsi="Arial" w:cs="Arial"/>
          <w:sz w:val="20"/>
        </w:rPr>
        <w:t>Owners' equity</w:t>
      </w:r>
      <w:r w:rsidR="00C22518">
        <w:rPr>
          <w:rFonts w:ascii="Arial" w:hAnsi="Arial" w:cs="Arial"/>
          <w:sz w:val="20"/>
        </w:rPr>
        <w:t xml:space="preserve">: </w:t>
      </w:r>
      <w:r w:rsidR="003A17F7">
        <w:rPr>
          <w:rFonts w:ascii="Arial" w:hAnsi="Arial" w:cs="Arial"/>
          <w:sz w:val="20"/>
        </w:rPr>
        <w:t>87.970.667.603 VND)</w:t>
      </w:r>
    </w:p>
    <w:p w:rsidR="003A17F7" w:rsidRDefault="003A17F7" w:rsidP="003A17F7">
      <w:pPr>
        <w:jc w:val="both"/>
        <w:rPr>
          <w:rFonts w:ascii="Arial" w:hAnsi="Arial" w:cs="Arial"/>
          <w:sz w:val="20"/>
        </w:rPr>
      </w:pPr>
      <w:r w:rsidRPr="000F571D">
        <w:rPr>
          <w:rFonts w:ascii="Arial" w:hAnsi="Arial" w:cs="Arial"/>
          <w:b/>
          <w:sz w:val="20"/>
        </w:rPr>
        <w:t>Article 2:</w:t>
      </w:r>
      <w:r>
        <w:rPr>
          <w:rFonts w:ascii="Arial" w:hAnsi="Arial" w:cs="Arial"/>
          <w:sz w:val="20"/>
        </w:rPr>
        <w:t xml:space="preserve"> Approve </w:t>
      </w:r>
      <w:r w:rsidR="00B24970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business production and investment</w:t>
      </w:r>
      <w:r w:rsidR="00B24970">
        <w:rPr>
          <w:rFonts w:ascii="Arial" w:hAnsi="Arial" w:cs="Arial"/>
          <w:sz w:val="20"/>
        </w:rPr>
        <w:t xml:space="preserve"> plan in 2017</w:t>
      </w:r>
    </w:p>
    <w:p w:rsidR="00B24970" w:rsidRPr="000F571D" w:rsidRDefault="00B24970" w:rsidP="00B2497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0F571D">
        <w:rPr>
          <w:rFonts w:ascii="Arial" w:hAnsi="Arial" w:cs="Arial"/>
          <w:i/>
          <w:sz w:val="20"/>
        </w:rPr>
        <w:t>2017 business plan:</w:t>
      </w:r>
    </w:p>
    <w:p w:rsidR="00B24970" w:rsidRDefault="002C69DC" w:rsidP="002C69D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Transported </w:t>
      </w:r>
      <w:r w:rsidRPr="002C69DC">
        <w:rPr>
          <w:rFonts w:ascii="Arial" w:hAnsi="Arial" w:cs="Arial"/>
          <w:sz w:val="20"/>
        </w:rPr>
        <w:t>output</w:t>
      </w:r>
      <w:r>
        <w:rPr>
          <w:rFonts w:ascii="Arial" w:hAnsi="Arial" w:cs="Arial"/>
          <w:sz w:val="20"/>
        </w:rPr>
        <w:t>: 927.000 m3 tons;</w:t>
      </w:r>
    </w:p>
    <w:p w:rsidR="002C69DC" w:rsidRDefault="002C69DC" w:rsidP="002C69D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Consolidated net revenue: 249.904 billion VND;</w:t>
      </w:r>
    </w:p>
    <w:p w:rsidR="002C69DC" w:rsidRDefault="002C69DC" w:rsidP="002C69D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Total profit before tax: 6.157</w:t>
      </w:r>
      <w:r w:rsidRPr="002C69D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billion VND;</w:t>
      </w:r>
    </w:p>
    <w:p w:rsidR="001F020E" w:rsidRDefault="001F020E" w:rsidP="001F02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Average income of employees: 8.498.000 VND / Person / Month;</w:t>
      </w:r>
    </w:p>
    <w:p w:rsidR="001F020E" w:rsidRDefault="001F020E" w:rsidP="001F02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Rate of dividend distribution: from 6% / charter capital to up;</w:t>
      </w:r>
    </w:p>
    <w:p w:rsidR="001F020E" w:rsidRPr="000F571D" w:rsidRDefault="001F020E" w:rsidP="001F020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0F571D">
        <w:rPr>
          <w:rFonts w:ascii="Arial" w:hAnsi="Arial" w:cs="Arial"/>
          <w:i/>
          <w:sz w:val="20"/>
        </w:rPr>
        <w:t>2017 investment plan:</w:t>
      </w:r>
    </w:p>
    <w:p w:rsidR="001F020E" w:rsidRDefault="001F020E" w:rsidP="00A7745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Total investment: 168.476 </w:t>
      </w:r>
      <w:r w:rsidR="00A050A4">
        <w:rPr>
          <w:rFonts w:ascii="Arial" w:hAnsi="Arial" w:cs="Arial"/>
          <w:sz w:val="20"/>
        </w:rPr>
        <w:t xml:space="preserve">billion VND; </w:t>
      </w:r>
      <w:proofErr w:type="gramStart"/>
      <w:r w:rsidR="00A050A4">
        <w:rPr>
          <w:rFonts w:ascii="Arial" w:hAnsi="Arial" w:cs="Arial"/>
          <w:sz w:val="20"/>
        </w:rPr>
        <w:t>Within</w:t>
      </w:r>
      <w:proofErr w:type="gramEnd"/>
      <w:r w:rsidR="00A050A4">
        <w:rPr>
          <w:rFonts w:ascii="Arial" w:hAnsi="Arial" w:cs="Arial"/>
          <w:sz w:val="20"/>
        </w:rPr>
        <w:t xml:space="preserve"> developing to implement the additional invested project </w:t>
      </w:r>
      <w:r w:rsidR="00A77452">
        <w:rPr>
          <w:rFonts w:ascii="Arial" w:hAnsi="Arial" w:cs="Arial"/>
          <w:sz w:val="20"/>
        </w:rPr>
        <w:t>of 01 vessel with tonnage under 10.</w:t>
      </w:r>
      <w:r w:rsidR="00A77452" w:rsidRPr="00A77452">
        <w:rPr>
          <w:rFonts w:ascii="Arial" w:hAnsi="Arial" w:cs="Arial"/>
          <w:sz w:val="20"/>
        </w:rPr>
        <w:t>000DWT</w:t>
      </w:r>
      <w:r w:rsidR="00117810">
        <w:rPr>
          <w:rFonts w:ascii="Arial" w:hAnsi="Arial" w:cs="Arial"/>
          <w:sz w:val="20"/>
        </w:rPr>
        <w:t>.</w:t>
      </w:r>
    </w:p>
    <w:p w:rsidR="00117810" w:rsidRDefault="00117810" w:rsidP="00117810">
      <w:pPr>
        <w:jc w:val="both"/>
        <w:rPr>
          <w:rFonts w:ascii="Arial" w:hAnsi="Arial" w:cs="Arial"/>
          <w:sz w:val="20"/>
        </w:rPr>
      </w:pPr>
      <w:r w:rsidRPr="001A08CE">
        <w:rPr>
          <w:rFonts w:ascii="Arial" w:hAnsi="Arial" w:cs="Arial"/>
          <w:b/>
          <w:sz w:val="20"/>
        </w:rPr>
        <w:t>Article 3:</w:t>
      </w:r>
      <w:r>
        <w:rPr>
          <w:rFonts w:ascii="Arial" w:hAnsi="Arial" w:cs="Arial"/>
          <w:sz w:val="20"/>
        </w:rPr>
        <w:t xml:space="preserve"> </w:t>
      </w:r>
      <w:r w:rsidR="0083603D">
        <w:rPr>
          <w:rFonts w:ascii="Arial" w:hAnsi="Arial" w:cs="Arial"/>
          <w:sz w:val="20"/>
        </w:rPr>
        <w:t xml:space="preserve">Approve </w:t>
      </w:r>
      <w:r w:rsidR="001A08CE">
        <w:rPr>
          <w:rFonts w:ascii="Arial" w:hAnsi="Arial" w:cs="Arial"/>
          <w:sz w:val="20"/>
        </w:rPr>
        <w:t xml:space="preserve">2016 </w:t>
      </w:r>
      <w:r w:rsidR="0083603D">
        <w:rPr>
          <w:rFonts w:ascii="Arial" w:hAnsi="Arial" w:cs="Arial"/>
          <w:sz w:val="20"/>
        </w:rPr>
        <w:t xml:space="preserve">Report </w:t>
      </w:r>
      <w:r w:rsidR="00DF56A1">
        <w:rPr>
          <w:rFonts w:ascii="Arial" w:hAnsi="Arial" w:cs="Arial"/>
          <w:sz w:val="20"/>
        </w:rPr>
        <w:t xml:space="preserve">of Board of Directors </w:t>
      </w:r>
      <w:r w:rsidR="001A08CE">
        <w:rPr>
          <w:rFonts w:ascii="Arial" w:hAnsi="Arial" w:cs="Arial"/>
          <w:sz w:val="20"/>
        </w:rPr>
        <w:t>on</w:t>
      </w:r>
      <w:r w:rsidR="0083603D">
        <w:rPr>
          <w:rFonts w:ascii="Arial" w:hAnsi="Arial" w:cs="Arial"/>
          <w:sz w:val="20"/>
        </w:rPr>
        <w:t xml:space="preserve"> operation at term of 2012-2017 and </w:t>
      </w:r>
      <w:r w:rsidR="00DF56A1">
        <w:rPr>
          <w:rFonts w:ascii="Arial" w:hAnsi="Arial" w:cs="Arial"/>
          <w:sz w:val="20"/>
        </w:rPr>
        <w:t>the development orientation of company at period of 2017-2022. Within</w:t>
      </w:r>
      <w:r w:rsidR="00863566">
        <w:rPr>
          <w:rFonts w:ascii="Arial" w:hAnsi="Arial" w:cs="Arial"/>
          <w:sz w:val="20"/>
        </w:rPr>
        <w:t xml:space="preserve"> developing Company at period of 2017-2020 under the following directions:</w:t>
      </w:r>
    </w:p>
    <w:p w:rsidR="00863566" w:rsidRDefault="00B95541" w:rsidP="0086356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Strive </w:t>
      </w:r>
      <w:r w:rsidR="003E0801">
        <w:rPr>
          <w:rFonts w:ascii="Arial" w:hAnsi="Arial" w:cs="Arial"/>
          <w:sz w:val="20"/>
        </w:rPr>
        <w:t xml:space="preserve">for total revenue growing average over 10%/year, average profit increases from 5%/year to up, dividend increases </w:t>
      </w:r>
      <w:r w:rsidR="00CA3FDC">
        <w:rPr>
          <w:rFonts w:ascii="Arial" w:hAnsi="Arial" w:cs="Arial"/>
          <w:sz w:val="20"/>
        </w:rPr>
        <w:t>from 5%/year to up, average income of employees increase from 5%/year to up;</w:t>
      </w:r>
    </w:p>
    <w:p w:rsidR="00CA3FDC" w:rsidRDefault="00CA3FDC" w:rsidP="005D710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Invest to develop </w:t>
      </w:r>
      <w:r w:rsidR="008D3DFD">
        <w:rPr>
          <w:rFonts w:ascii="Arial" w:hAnsi="Arial" w:cs="Arial"/>
          <w:sz w:val="20"/>
        </w:rPr>
        <w:t xml:space="preserve">fleets: </w:t>
      </w:r>
      <w:r w:rsidR="00B84905">
        <w:rPr>
          <w:rFonts w:ascii="Arial" w:hAnsi="Arial" w:cs="Arial"/>
          <w:sz w:val="20"/>
        </w:rPr>
        <w:t>R</w:t>
      </w:r>
      <w:r w:rsidR="00B84905" w:rsidRPr="00B84905">
        <w:rPr>
          <w:rFonts w:ascii="Arial" w:hAnsi="Arial" w:cs="Arial"/>
          <w:sz w:val="20"/>
        </w:rPr>
        <w:t>estructure</w:t>
      </w:r>
      <w:r w:rsidR="00B84905">
        <w:rPr>
          <w:rFonts w:ascii="Arial" w:hAnsi="Arial" w:cs="Arial"/>
          <w:sz w:val="20"/>
        </w:rPr>
        <w:t xml:space="preserve"> the fleets on rivers according to the directions </w:t>
      </w:r>
      <w:r w:rsidR="009213F9" w:rsidRPr="009213F9">
        <w:rPr>
          <w:rFonts w:ascii="Arial" w:hAnsi="Arial" w:cs="Arial"/>
          <w:sz w:val="20"/>
        </w:rPr>
        <w:t>of improving the efficiency of exploitation</w:t>
      </w:r>
      <w:r w:rsidR="009213F9">
        <w:rPr>
          <w:rFonts w:ascii="Arial" w:hAnsi="Arial" w:cs="Arial"/>
          <w:sz w:val="20"/>
        </w:rPr>
        <w:t xml:space="preserve">, concerning </w:t>
      </w:r>
      <w:r w:rsidR="005D7106">
        <w:rPr>
          <w:rFonts w:ascii="Arial" w:hAnsi="Arial" w:cs="Arial"/>
          <w:sz w:val="20"/>
        </w:rPr>
        <w:t>all development sources of fleets a</w:t>
      </w:r>
      <w:r w:rsidR="005D7106" w:rsidRPr="005D7106">
        <w:rPr>
          <w:rFonts w:ascii="Arial" w:hAnsi="Arial" w:cs="Arial"/>
          <w:sz w:val="20"/>
        </w:rPr>
        <w:t>t the seaside</w:t>
      </w:r>
      <w:r w:rsidR="005D7106">
        <w:rPr>
          <w:rFonts w:ascii="Arial" w:hAnsi="Arial" w:cs="Arial"/>
          <w:sz w:val="20"/>
        </w:rPr>
        <w:t xml:space="preserve">; strive </w:t>
      </w:r>
      <w:r w:rsidR="0047415A">
        <w:rPr>
          <w:rFonts w:ascii="Arial" w:hAnsi="Arial" w:cs="Arial"/>
          <w:sz w:val="20"/>
        </w:rPr>
        <w:t xml:space="preserve">for 22 fleets at the seaside  with total tonnage of 20.000 tons </w:t>
      </w:r>
      <w:r w:rsidR="005774D1">
        <w:rPr>
          <w:rFonts w:ascii="Arial" w:hAnsi="Arial" w:cs="Arial"/>
          <w:sz w:val="20"/>
        </w:rPr>
        <w:t>to 2020;</w:t>
      </w:r>
    </w:p>
    <w:p w:rsidR="005774D1" w:rsidRDefault="005774D1" w:rsidP="005D710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Maintain &amp; develop the traditional business lines. Research </w:t>
      </w:r>
      <w:r w:rsidR="00FB7912">
        <w:rPr>
          <w:rFonts w:ascii="Arial" w:hAnsi="Arial" w:cs="Arial"/>
          <w:sz w:val="20"/>
        </w:rPr>
        <w:t xml:space="preserve">to look for the favorable investment chances to </w:t>
      </w:r>
      <w:r w:rsidR="00C002B9">
        <w:rPr>
          <w:rFonts w:ascii="Arial" w:hAnsi="Arial" w:cs="Arial"/>
          <w:sz w:val="20"/>
        </w:rPr>
        <w:t>development trends stability;</w:t>
      </w:r>
    </w:p>
    <w:p w:rsidR="00C002B9" w:rsidRDefault="00C002B9" w:rsidP="00A0544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Concern to develop the company’s culture</w:t>
      </w:r>
      <w:r w:rsidR="00A05440">
        <w:rPr>
          <w:rFonts w:ascii="Arial" w:hAnsi="Arial" w:cs="Arial"/>
          <w:sz w:val="20"/>
        </w:rPr>
        <w:t xml:space="preserve">, improve quality of service, position, </w:t>
      </w:r>
      <w:r w:rsidR="00A05440" w:rsidRPr="00A05440">
        <w:rPr>
          <w:rFonts w:ascii="Arial" w:hAnsi="Arial" w:cs="Arial"/>
          <w:sz w:val="20"/>
        </w:rPr>
        <w:t>reputation</w:t>
      </w:r>
      <w:r w:rsidR="00A05440">
        <w:rPr>
          <w:rFonts w:ascii="Arial" w:hAnsi="Arial" w:cs="Arial"/>
          <w:sz w:val="20"/>
        </w:rPr>
        <w:t xml:space="preserve"> of company and increase </w:t>
      </w:r>
      <w:r w:rsidR="00A05440" w:rsidRPr="00A05440">
        <w:rPr>
          <w:rFonts w:ascii="Arial" w:hAnsi="Arial" w:cs="Arial"/>
          <w:sz w:val="20"/>
        </w:rPr>
        <w:t>competition in the market</w:t>
      </w:r>
      <w:r w:rsidR="00773287">
        <w:rPr>
          <w:rFonts w:ascii="Arial" w:hAnsi="Arial" w:cs="Arial"/>
          <w:sz w:val="20"/>
        </w:rPr>
        <w:t>;</w:t>
      </w:r>
    </w:p>
    <w:p w:rsidR="00773287" w:rsidRDefault="00D618E8" w:rsidP="0022770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Pr="00D618E8">
        <w:rPr>
          <w:rFonts w:ascii="Arial" w:hAnsi="Arial" w:cs="Arial"/>
          <w:sz w:val="20"/>
        </w:rPr>
        <w:t>tilize</w:t>
      </w:r>
      <w:r>
        <w:rPr>
          <w:rFonts w:ascii="Arial" w:hAnsi="Arial" w:cs="Arial"/>
          <w:sz w:val="20"/>
        </w:rPr>
        <w:t xml:space="preserve"> efficiently company’s </w:t>
      </w:r>
      <w:r w:rsidR="00870593">
        <w:rPr>
          <w:rFonts w:ascii="Arial" w:hAnsi="Arial" w:cs="Arial"/>
          <w:sz w:val="20"/>
        </w:rPr>
        <w:t>re</w:t>
      </w:r>
      <w:r>
        <w:rPr>
          <w:rFonts w:ascii="Arial" w:hAnsi="Arial" w:cs="Arial"/>
          <w:sz w:val="20"/>
        </w:rPr>
        <w:t xml:space="preserve">source. </w:t>
      </w:r>
      <w:r w:rsidR="00870593">
        <w:rPr>
          <w:rFonts w:ascii="Arial" w:hAnsi="Arial" w:cs="Arial"/>
          <w:sz w:val="20"/>
        </w:rPr>
        <w:t xml:space="preserve">Train and recruit managers &amp; workers with </w:t>
      </w:r>
      <w:r w:rsidR="00227709">
        <w:rPr>
          <w:rFonts w:ascii="Arial" w:hAnsi="Arial" w:cs="Arial"/>
          <w:sz w:val="20"/>
        </w:rPr>
        <w:t xml:space="preserve">high </w:t>
      </w:r>
      <w:r w:rsidR="0057089E">
        <w:rPr>
          <w:rFonts w:ascii="Arial" w:hAnsi="Arial" w:cs="Arial"/>
          <w:sz w:val="20"/>
        </w:rPr>
        <w:t xml:space="preserve">qualification &amp; </w:t>
      </w:r>
      <w:r w:rsidR="00227709" w:rsidRPr="00227709">
        <w:rPr>
          <w:rFonts w:ascii="Arial" w:hAnsi="Arial" w:cs="Arial"/>
          <w:sz w:val="20"/>
        </w:rPr>
        <w:t>workmanship</w:t>
      </w:r>
      <w:r w:rsidR="0057089E">
        <w:rPr>
          <w:rFonts w:ascii="Arial" w:hAnsi="Arial" w:cs="Arial"/>
          <w:sz w:val="20"/>
        </w:rPr>
        <w:t>, which help company to develop stability;</w:t>
      </w:r>
    </w:p>
    <w:p w:rsidR="0057089E" w:rsidRDefault="0057089E" w:rsidP="0022770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Issuing </w:t>
      </w:r>
      <w:r w:rsidR="00A86C59">
        <w:rPr>
          <w:rFonts w:ascii="Arial" w:hAnsi="Arial" w:cs="Arial"/>
          <w:sz w:val="20"/>
        </w:rPr>
        <w:t>shares to increase charter capital to 100 billion VND in the necessary situation</w:t>
      </w:r>
      <w:r w:rsidR="0059623C">
        <w:rPr>
          <w:rFonts w:ascii="Arial" w:hAnsi="Arial" w:cs="Arial"/>
          <w:sz w:val="20"/>
        </w:rPr>
        <w:t>, which ensures capital enough to serve the business production operation and implement the invested project under plans.</w:t>
      </w:r>
    </w:p>
    <w:p w:rsidR="0059623C" w:rsidRDefault="0059623C" w:rsidP="0059623C">
      <w:pPr>
        <w:jc w:val="both"/>
        <w:rPr>
          <w:rFonts w:ascii="Arial" w:hAnsi="Arial" w:cs="Arial"/>
          <w:sz w:val="20"/>
        </w:rPr>
      </w:pPr>
      <w:r w:rsidRPr="002C32FA">
        <w:rPr>
          <w:rFonts w:ascii="Arial" w:hAnsi="Arial" w:cs="Arial"/>
          <w:b/>
          <w:sz w:val="20"/>
        </w:rPr>
        <w:lastRenderedPageBreak/>
        <w:t>Article 4:</w:t>
      </w:r>
      <w:r>
        <w:rPr>
          <w:rFonts w:ascii="Arial" w:hAnsi="Arial" w:cs="Arial"/>
          <w:sz w:val="20"/>
        </w:rPr>
        <w:t xml:space="preserve"> Approve </w:t>
      </w:r>
      <w:r w:rsidR="00E8006A">
        <w:rPr>
          <w:rFonts w:ascii="Arial" w:hAnsi="Arial" w:cs="Arial"/>
          <w:sz w:val="20"/>
        </w:rPr>
        <w:t>Report of Board of Supervisors on the supervised results at term of 2016 &amp; 2012-2017 and operation direction of 2017-2020</w:t>
      </w:r>
      <w:r w:rsidR="001D0B98">
        <w:rPr>
          <w:rFonts w:ascii="Arial" w:hAnsi="Arial" w:cs="Arial"/>
          <w:sz w:val="20"/>
        </w:rPr>
        <w:t>.</w:t>
      </w:r>
    </w:p>
    <w:p w:rsidR="001D0B98" w:rsidRDefault="001D0B98" w:rsidP="0059623C">
      <w:pPr>
        <w:jc w:val="both"/>
        <w:rPr>
          <w:rFonts w:ascii="Arial" w:hAnsi="Arial" w:cs="Arial"/>
          <w:sz w:val="20"/>
        </w:rPr>
      </w:pPr>
      <w:r w:rsidRPr="002C32FA">
        <w:rPr>
          <w:rFonts w:ascii="Arial" w:hAnsi="Arial" w:cs="Arial"/>
          <w:b/>
          <w:sz w:val="20"/>
        </w:rPr>
        <w:t>Article 5:</w:t>
      </w:r>
      <w:r>
        <w:rPr>
          <w:rFonts w:ascii="Arial" w:hAnsi="Arial" w:cs="Arial"/>
          <w:sz w:val="20"/>
        </w:rPr>
        <w:t xml:space="preserve"> Approve plan of salary payment and remuneration for Board of </w:t>
      </w:r>
      <w:r w:rsidR="00291106">
        <w:rPr>
          <w:rFonts w:ascii="Arial" w:hAnsi="Arial" w:cs="Arial"/>
          <w:sz w:val="20"/>
        </w:rPr>
        <w:t xml:space="preserve">Directors &amp; </w:t>
      </w:r>
      <w:r>
        <w:rPr>
          <w:rFonts w:ascii="Arial" w:hAnsi="Arial" w:cs="Arial"/>
          <w:sz w:val="20"/>
        </w:rPr>
        <w:t xml:space="preserve">Supervisors </w:t>
      </w:r>
      <w:r w:rsidR="00291106">
        <w:rPr>
          <w:rFonts w:ascii="Arial" w:hAnsi="Arial" w:cs="Arial"/>
          <w:sz w:val="20"/>
        </w:rPr>
        <w:t>in 2017.</w:t>
      </w:r>
    </w:p>
    <w:p w:rsidR="00291106" w:rsidRDefault="009C19F7" w:rsidP="0059623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Remuneration for Board of Directors &amp; Supervisors: </w:t>
      </w:r>
      <w:r w:rsidR="00B93AD8">
        <w:rPr>
          <w:rFonts w:ascii="Arial" w:hAnsi="Arial" w:cs="Arial"/>
          <w:sz w:val="20"/>
        </w:rPr>
        <w:t xml:space="preserve">Executive </w:t>
      </w:r>
      <w:r>
        <w:rPr>
          <w:rFonts w:ascii="Arial" w:hAnsi="Arial" w:cs="Arial"/>
          <w:sz w:val="20"/>
        </w:rPr>
        <w:t>Board of Directors pay</w:t>
      </w:r>
      <w:r w:rsidR="005D1E0E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salary under </w:t>
      </w:r>
      <w:r w:rsidR="00B93AD8">
        <w:rPr>
          <w:rFonts w:ascii="Arial" w:hAnsi="Arial" w:cs="Arial"/>
          <w:sz w:val="20"/>
        </w:rPr>
        <w:t xml:space="preserve">regulations on salary payment of company. Non-executive Board of Directors is equal to 20% of </w:t>
      </w:r>
      <w:r w:rsidR="005D1E0E">
        <w:rPr>
          <w:rFonts w:ascii="Arial" w:hAnsi="Arial" w:cs="Arial"/>
          <w:sz w:val="20"/>
        </w:rPr>
        <w:t xml:space="preserve">General Director’s salary. Member of Board of </w:t>
      </w:r>
      <w:r w:rsidR="007054CB">
        <w:rPr>
          <w:rFonts w:ascii="Arial" w:hAnsi="Arial" w:cs="Arial"/>
          <w:sz w:val="20"/>
        </w:rPr>
        <w:t>Directors</w:t>
      </w:r>
      <w:r w:rsidR="005D1E0E">
        <w:rPr>
          <w:rFonts w:ascii="Arial" w:hAnsi="Arial" w:cs="Arial"/>
          <w:sz w:val="20"/>
        </w:rPr>
        <w:t>, Head of Supervisors</w:t>
      </w:r>
      <w:r w:rsidR="007054CB" w:rsidRPr="007054CB">
        <w:rPr>
          <w:rFonts w:ascii="Arial" w:hAnsi="Arial" w:cs="Arial"/>
          <w:sz w:val="20"/>
        </w:rPr>
        <w:t xml:space="preserve"> </w:t>
      </w:r>
      <w:r w:rsidR="007054CB">
        <w:rPr>
          <w:rFonts w:ascii="Arial" w:hAnsi="Arial" w:cs="Arial"/>
          <w:sz w:val="20"/>
        </w:rPr>
        <w:t>is equal to 20% of Deputy General Director’s salary. Member of Board of Supervisors</w:t>
      </w:r>
      <w:r w:rsidR="007054CB" w:rsidRPr="007054CB">
        <w:rPr>
          <w:rFonts w:ascii="Arial" w:hAnsi="Arial" w:cs="Arial"/>
          <w:sz w:val="20"/>
        </w:rPr>
        <w:t xml:space="preserve"> </w:t>
      </w:r>
      <w:r w:rsidR="007054CB">
        <w:rPr>
          <w:rFonts w:ascii="Arial" w:hAnsi="Arial" w:cs="Arial"/>
          <w:sz w:val="20"/>
        </w:rPr>
        <w:t xml:space="preserve">is equal to </w:t>
      </w:r>
      <w:r w:rsidR="007A04E0">
        <w:rPr>
          <w:rFonts w:ascii="Arial" w:hAnsi="Arial" w:cs="Arial"/>
          <w:sz w:val="20"/>
        </w:rPr>
        <w:t>7</w:t>
      </w:r>
      <w:r w:rsidR="007054CB">
        <w:rPr>
          <w:rFonts w:ascii="Arial" w:hAnsi="Arial" w:cs="Arial"/>
          <w:sz w:val="20"/>
        </w:rPr>
        <w:t>0% of</w:t>
      </w:r>
      <w:r w:rsidR="007A04E0">
        <w:rPr>
          <w:rFonts w:ascii="Arial" w:hAnsi="Arial" w:cs="Arial"/>
          <w:sz w:val="20"/>
        </w:rPr>
        <w:t xml:space="preserve"> </w:t>
      </w:r>
      <w:r w:rsidR="005C533F">
        <w:rPr>
          <w:rFonts w:ascii="Arial" w:hAnsi="Arial" w:cs="Arial"/>
          <w:sz w:val="20"/>
        </w:rPr>
        <w:t xml:space="preserve">salary of </w:t>
      </w:r>
      <w:r w:rsidR="007A04E0">
        <w:rPr>
          <w:rFonts w:ascii="Arial" w:hAnsi="Arial" w:cs="Arial"/>
          <w:sz w:val="20"/>
        </w:rPr>
        <w:t>Member of Board of Director</w:t>
      </w:r>
      <w:r w:rsidR="005C533F">
        <w:rPr>
          <w:rFonts w:ascii="Arial" w:hAnsi="Arial" w:cs="Arial"/>
          <w:sz w:val="20"/>
        </w:rPr>
        <w:t xml:space="preserve"> &amp; Head of Supervisors.</w:t>
      </w:r>
    </w:p>
    <w:p w:rsidR="005C533F" w:rsidRDefault="00841BF5" w:rsidP="0059623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Payment methods of salary and remuneration for Board of Directors &amp; Supervisors in 2017: Implement temporarily the monthly payment and </w:t>
      </w:r>
      <w:r w:rsidR="00D975A4">
        <w:rPr>
          <w:rFonts w:ascii="Arial" w:hAnsi="Arial" w:cs="Arial"/>
          <w:sz w:val="20"/>
        </w:rPr>
        <w:t>shall be accounted after finishing fiscal year.</w:t>
      </w:r>
    </w:p>
    <w:p w:rsidR="00D975A4" w:rsidRDefault="00D975A4" w:rsidP="0059623C">
      <w:pPr>
        <w:jc w:val="both"/>
        <w:rPr>
          <w:rFonts w:ascii="Arial" w:hAnsi="Arial" w:cs="Arial"/>
          <w:sz w:val="20"/>
        </w:rPr>
      </w:pPr>
      <w:r w:rsidRPr="002C32FA">
        <w:rPr>
          <w:rFonts w:ascii="Arial" w:hAnsi="Arial" w:cs="Arial"/>
          <w:b/>
          <w:sz w:val="20"/>
        </w:rPr>
        <w:t>Article 6:</w:t>
      </w:r>
      <w:r>
        <w:rPr>
          <w:rFonts w:ascii="Arial" w:hAnsi="Arial" w:cs="Arial"/>
          <w:sz w:val="20"/>
        </w:rPr>
        <w:t xml:space="preserve"> Approve the distribution plan and deduction for provisions from profit after tax in 2016 as follows: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0"/>
        <w:gridCol w:w="5196"/>
        <w:gridCol w:w="2733"/>
      </w:tblGrid>
      <w:tr w:rsidR="003E1235" w:rsidTr="00D551DB">
        <w:trPr>
          <w:jc w:val="center"/>
        </w:trPr>
        <w:tc>
          <w:tcPr>
            <w:tcW w:w="810" w:type="dxa"/>
          </w:tcPr>
          <w:p w:rsidR="003E1235" w:rsidRPr="00D551DB" w:rsidRDefault="003E1235" w:rsidP="002A754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551DB"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5196" w:type="dxa"/>
          </w:tcPr>
          <w:p w:rsidR="003E1235" w:rsidRPr="00D551DB" w:rsidRDefault="003E1235" w:rsidP="00D551D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551DB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2733" w:type="dxa"/>
          </w:tcPr>
          <w:p w:rsidR="003E1235" w:rsidRPr="00D551DB" w:rsidRDefault="003E1235" w:rsidP="00D551D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551DB">
              <w:rPr>
                <w:rFonts w:ascii="Arial" w:hAnsi="Arial" w:cs="Arial"/>
                <w:b/>
                <w:sz w:val="20"/>
              </w:rPr>
              <w:t>Amount (VND)</w:t>
            </w:r>
          </w:p>
        </w:tc>
      </w:tr>
      <w:tr w:rsidR="003E1235" w:rsidTr="00D551DB">
        <w:trPr>
          <w:jc w:val="center"/>
        </w:trPr>
        <w:tc>
          <w:tcPr>
            <w:tcW w:w="810" w:type="dxa"/>
          </w:tcPr>
          <w:p w:rsidR="003E1235" w:rsidRDefault="003E1235" w:rsidP="002A754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196" w:type="dxa"/>
          </w:tcPr>
          <w:p w:rsidR="003E1235" w:rsidRDefault="003E1235" w:rsidP="0059623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Implemented profit</w:t>
            </w:r>
          </w:p>
        </w:tc>
        <w:tc>
          <w:tcPr>
            <w:tcW w:w="2733" w:type="dxa"/>
          </w:tcPr>
          <w:p w:rsidR="003E1235" w:rsidRDefault="002A7541" w:rsidP="00D551D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5.823.146.624</w:t>
            </w:r>
          </w:p>
        </w:tc>
      </w:tr>
      <w:tr w:rsidR="003E1235" w:rsidTr="00D551DB">
        <w:trPr>
          <w:jc w:val="center"/>
        </w:trPr>
        <w:tc>
          <w:tcPr>
            <w:tcW w:w="810" w:type="dxa"/>
          </w:tcPr>
          <w:p w:rsidR="003E1235" w:rsidRDefault="003E1235" w:rsidP="002A754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196" w:type="dxa"/>
          </w:tcPr>
          <w:p w:rsidR="003E1235" w:rsidRDefault="003E1235" w:rsidP="0059623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Corporation income tax</w:t>
            </w:r>
          </w:p>
        </w:tc>
        <w:tc>
          <w:tcPr>
            <w:tcW w:w="2733" w:type="dxa"/>
          </w:tcPr>
          <w:p w:rsidR="003E1235" w:rsidRDefault="002A7541" w:rsidP="00D551D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1.198.377.744</w:t>
            </w:r>
          </w:p>
        </w:tc>
      </w:tr>
      <w:tr w:rsidR="003E1235" w:rsidTr="00D551DB">
        <w:trPr>
          <w:jc w:val="center"/>
        </w:trPr>
        <w:tc>
          <w:tcPr>
            <w:tcW w:w="810" w:type="dxa"/>
          </w:tcPr>
          <w:p w:rsidR="003E1235" w:rsidRPr="00D551DB" w:rsidRDefault="003E1235" w:rsidP="002A7541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D551DB">
              <w:rPr>
                <w:rFonts w:ascii="Arial" w:hAnsi="Arial" w:cs="Arial"/>
                <w:b/>
                <w:i/>
                <w:sz w:val="20"/>
              </w:rPr>
              <w:t>3</w:t>
            </w:r>
          </w:p>
        </w:tc>
        <w:tc>
          <w:tcPr>
            <w:tcW w:w="5196" w:type="dxa"/>
          </w:tcPr>
          <w:p w:rsidR="003E1235" w:rsidRPr="00D551DB" w:rsidRDefault="003E1235" w:rsidP="0059623C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D551DB">
              <w:rPr>
                <w:rFonts w:ascii="Arial" w:hAnsi="Arial" w:cs="Arial"/>
                <w:b/>
                <w:i/>
                <w:sz w:val="20"/>
              </w:rPr>
              <w:t>Profit after tax</w:t>
            </w:r>
          </w:p>
        </w:tc>
        <w:tc>
          <w:tcPr>
            <w:tcW w:w="2733" w:type="dxa"/>
          </w:tcPr>
          <w:p w:rsidR="003E1235" w:rsidRPr="00D551DB" w:rsidRDefault="002A7541" w:rsidP="00D551DB">
            <w:pPr>
              <w:jc w:val="right"/>
              <w:rPr>
                <w:rFonts w:ascii="Arial" w:hAnsi="Arial" w:cs="Arial"/>
                <w:b/>
                <w:i/>
                <w:sz w:val="20"/>
              </w:rPr>
            </w:pPr>
            <w:r w:rsidRPr="00D551DB">
              <w:rPr>
                <w:rFonts w:ascii="Arial" w:hAnsi="Arial" w:cs="Arial"/>
                <w:b/>
                <w:i/>
                <w:sz w:val="20"/>
              </w:rPr>
              <w:t>4.624.468.880</w:t>
            </w:r>
          </w:p>
        </w:tc>
      </w:tr>
      <w:tr w:rsidR="003E1235" w:rsidTr="00D551DB">
        <w:trPr>
          <w:jc w:val="center"/>
        </w:trPr>
        <w:tc>
          <w:tcPr>
            <w:tcW w:w="810" w:type="dxa"/>
          </w:tcPr>
          <w:p w:rsidR="003E1235" w:rsidRDefault="003E1235" w:rsidP="002A754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196" w:type="dxa"/>
          </w:tcPr>
          <w:p w:rsidR="003E1235" w:rsidRDefault="003E1235" w:rsidP="0059623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Dividend distribution (6% / charter capital)</w:t>
            </w:r>
          </w:p>
        </w:tc>
        <w:tc>
          <w:tcPr>
            <w:tcW w:w="2733" w:type="dxa"/>
          </w:tcPr>
          <w:p w:rsidR="003E1235" w:rsidRDefault="002A7541" w:rsidP="00D551D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3.340.800.000</w:t>
            </w:r>
          </w:p>
        </w:tc>
      </w:tr>
      <w:tr w:rsidR="003E1235" w:rsidTr="00D551DB">
        <w:trPr>
          <w:jc w:val="center"/>
        </w:trPr>
        <w:tc>
          <w:tcPr>
            <w:tcW w:w="810" w:type="dxa"/>
          </w:tcPr>
          <w:p w:rsidR="003E1235" w:rsidRDefault="003E1235" w:rsidP="002A754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196" w:type="dxa"/>
          </w:tcPr>
          <w:p w:rsidR="003E1235" w:rsidRDefault="002A7541" w:rsidP="0059623C">
            <w:pPr>
              <w:jc w:val="both"/>
              <w:rPr>
                <w:rFonts w:ascii="Arial" w:hAnsi="Arial" w:cs="Arial"/>
                <w:sz w:val="20"/>
              </w:rPr>
            </w:pPr>
            <w:r w:rsidRPr="002A7541">
              <w:rPr>
                <w:rFonts w:ascii="Arial" w:hAnsi="Arial" w:cs="Arial"/>
                <w:sz w:val="20"/>
              </w:rPr>
              <w:t>Reward fund</w:t>
            </w:r>
          </w:p>
        </w:tc>
        <w:tc>
          <w:tcPr>
            <w:tcW w:w="2733" w:type="dxa"/>
          </w:tcPr>
          <w:p w:rsidR="003E1235" w:rsidRDefault="002A7541" w:rsidP="00D551D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100.000.000</w:t>
            </w:r>
          </w:p>
        </w:tc>
      </w:tr>
      <w:tr w:rsidR="003E1235" w:rsidTr="00D551DB">
        <w:trPr>
          <w:jc w:val="center"/>
        </w:trPr>
        <w:tc>
          <w:tcPr>
            <w:tcW w:w="810" w:type="dxa"/>
          </w:tcPr>
          <w:p w:rsidR="003E1235" w:rsidRDefault="003E1235" w:rsidP="002A754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196" w:type="dxa"/>
          </w:tcPr>
          <w:p w:rsidR="003E1235" w:rsidRDefault="002A7541" w:rsidP="0059623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Welfare fund</w:t>
            </w:r>
          </w:p>
        </w:tc>
        <w:tc>
          <w:tcPr>
            <w:tcW w:w="2733" w:type="dxa"/>
          </w:tcPr>
          <w:p w:rsidR="003E1235" w:rsidRDefault="002A7541" w:rsidP="00D551D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500.000.000</w:t>
            </w:r>
          </w:p>
        </w:tc>
      </w:tr>
      <w:tr w:rsidR="003E1235" w:rsidTr="00D551DB">
        <w:trPr>
          <w:jc w:val="center"/>
        </w:trPr>
        <w:tc>
          <w:tcPr>
            <w:tcW w:w="810" w:type="dxa"/>
          </w:tcPr>
          <w:p w:rsidR="003E1235" w:rsidRDefault="003E1235" w:rsidP="002A754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196" w:type="dxa"/>
          </w:tcPr>
          <w:p w:rsidR="003E1235" w:rsidRDefault="002A7541" w:rsidP="0059623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Undistributed profit after</w:t>
            </w:r>
          </w:p>
        </w:tc>
        <w:tc>
          <w:tcPr>
            <w:tcW w:w="2733" w:type="dxa"/>
          </w:tcPr>
          <w:p w:rsidR="003E1235" w:rsidRDefault="002A7541" w:rsidP="00D551D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683.968.880</w:t>
            </w:r>
          </w:p>
        </w:tc>
      </w:tr>
    </w:tbl>
    <w:p w:rsidR="00D975A4" w:rsidRDefault="00D975A4" w:rsidP="0059623C">
      <w:pPr>
        <w:jc w:val="both"/>
        <w:rPr>
          <w:rFonts w:ascii="Arial" w:hAnsi="Arial" w:cs="Arial"/>
          <w:sz w:val="20"/>
        </w:rPr>
      </w:pPr>
    </w:p>
    <w:p w:rsidR="0049098D" w:rsidRDefault="0049098D" w:rsidP="0059623C">
      <w:pPr>
        <w:jc w:val="both"/>
        <w:rPr>
          <w:rFonts w:ascii="Arial" w:hAnsi="Arial" w:cs="Arial"/>
          <w:sz w:val="20"/>
        </w:rPr>
      </w:pPr>
      <w:r w:rsidRPr="00066073">
        <w:rPr>
          <w:rFonts w:ascii="Arial" w:hAnsi="Arial" w:cs="Arial"/>
          <w:b/>
          <w:sz w:val="20"/>
        </w:rPr>
        <w:t xml:space="preserve">Article 7: </w:t>
      </w:r>
      <w:r>
        <w:rPr>
          <w:rFonts w:ascii="Arial" w:hAnsi="Arial" w:cs="Arial"/>
          <w:sz w:val="20"/>
        </w:rPr>
        <w:t>General Meeting of Shareholders authorize Board of Direc</w:t>
      </w:r>
      <w:r w:rsidR="00F312B0">
        <w:rPr>
          <w:rFonts w:ascii="Arial" w:hAnsi="Arial" w:cs="Arial"/>
          <w:sz w:val="20"/>
        </w:rPr>
        <w:t>tors to select one of companies named in the following list to implement auditing Financial Statement, 2017 Consolidated Financial Statement of Company:</w:t>
      </w:r>
    </w:p>
    <w:p w:rsidR="00F312B0" w:rsidRDefault="00F312B0" w:rsidP="00F312B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KPMG Company Limited (KPMG);</w:t>
      </w:r>
    </w:p>
    <w:p w:rsidR="00F312B0" w:rsidRDefault="00830512" w:rsidP="00F312B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Vietnam CPA Auditing Company Limited (CPA);</w:t>
      </w:r>
    </w:p>
    <w:p w:rsidR="00830512" w:rsidRDefault="00830512" w:rsidP="00F312B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 Viet Auditing Company Limited;</w:t>
      </w:r>
    </w:p>
    <w:p w:rsidR="00830512" w:rsidRDefault="00A32D86" w:rsidP="00A32D8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A32D86">
        <w:rPr>
          <w:rFonts w:ascii="Arial" w:hAnsi="Arial" w:cs="Arial"/>
          <w:sz w:val="20"/>
        </w:rPr>
        <w:t>Asia Auditing and Financial Consultancy Company Limited</w:t>
      </w:r>
      <w:r w:rsidR="00370F27">
        <w:rPr>
          <w:rFonts w:ascii="Arial" w:hAnsi="Arial" w:cs="Arial"/>
          <w:sz w:val="20"/>
        </w:rPr>
        <w:t xml:space="preserve"> (FADACOM)</w:t>
      </w:r>
    </w:p>
    <w:p w:rsidR="00370F27" w:rsidRDefault="00370F27" w:rsidP="00370F27">
      <w:pPr>
        <w:jc w:val="both"/>
        <w:rPr>
          <w:rFonts w:ascii="Arial" w:hAnsi="Arial" w:cs="Arial"/>
          <w:sz w:val="20"/>
        </w:rPr>
      </w:pPr>
      <w:r w:rsidRPr="00066073">
        <w:rPr>
          <w:rFonts w:ascii="Arial" w:hAnsi="Arial" w:cs="Arial"/>
          <w:b/>
          <w:sz w:val="20"/>
        </w:rPr>
        <w:t>Article 8:</w:t>
      </w:r>
      <w:r>
        <w:rPr>
          <w:rFonts w:ascii="Arial" w:hAnsi="Arial" w:cs="Arial"/>
          <w:sz w:val="20"/>
        </w:rPr>
        <w:t xml:space="preserve"> Approve the emendation &amp; supplementation Charters of Company.</w:t>
      </w:r>
    </w:p>
    <w:p w:rsidR="00370F27" w:rsidRDefault="00370F27" w:rsidP="00370F27">
      <w:pPr>
        <w:jc w:val="both"/>
        <w:rPr>
          <w:rFonts w:ascii="Arial" w:hAnsi="Arial" w:cs="Arial"/>
          <w:sz w:val="20"/>
        </w:rPr>
      </w:pPr>
      <w:r w:rsidRPr="00066073">
        <w:rPr>
          <w:rFonts w:ascii="Arial" w:hAnsi="Arial" w:cs="Arial"/>
          <w:b/>
          <w:sz w:val="20"/>
        </w:rPr>
        <w:t>Article 9:</w:t>
      </w:r>
      <w:r>
        <w:rPr>
          <w:rFonts w:ascii="Arial" w:hAnsi="Arial" w:cs="Arial"/>
          <w:sz w:val="20"/>
        </w:rPr>
        <w:t xml:space="preserve"> Approve the list of Board of Directors &amp; Supervisors as term of 2017-2022</w:t>
      </w:r>
      <w:r w:rsidR="00FC1DEA">
        <w:rPr>
          <w:rFonts w:ascii="Arial" w:hAnsi="Arial" w:cs="Arial"/>
          <w:sz w:val="20"/>
        </w:rPr>
        <w:t xml:space="preserve"> </w:t>
      </w:r>
      <w:r w:rsidR="00FC1DEA" w:rsidRPr="00FC1DEA">
        <w:rPr>
          <w:rFonts w:ascii="Arial" w:hAnsi="Arial" w:cs="Arial"/>
          <w:sz w:val="20"/>
        </w:rPr>
        <w:t>duly elected</w:t>
      </w:r>
      <w:r w:rsidR="00FC1DEA">
        <w:rPr>
          <w:rFonts w:ascii="Arial" w:hAnsi="Arial" w:cs="Arial"/>
          <w:sz w:val="20"/>
        </w:rPr>
        <w:t xml:space="preserve"> under regulations of law and Company’s charters as follows:</w:t>
      </w:r>
    </w:p>
    <w:p w:rsidR="00FC1DEA" w:rsidRDefault="00FC1DEA" w:rsidP="00FC1DE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Board of Directors: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4032"/>
        <w:gridCol w:w="2160"/>
      </w:tblGrid>
      <w:tr w:rsidR="00B70C3A" w:rsidTr="00877FC5">
        <w:trPr>
          <w:jc w:val="center"/>
        </w:trPr>
        <w:tc>
          <w:tcPr>
            <w:tcW w:w="630" w:type="dxa"/>
          </w:tcPr>
          <w:p w:rsidR="00FC1DEA" w:rsidRDefault="00FC1DEA" w:rsidP="00877FC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4032" w:type="dxa"/>
          </w:tcPr>
          <w:p w:rsidR="00FC1DEA" w:rsidRDefault="00FC1DEA" w:rsidP="00877FC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2160" w:type="dxa"/>
          </w:tcPr>
          <w:p w:rsidR="00FC1DEA" w:rsidRDefault="00FC1DEA" w:rsidP="00877FC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Total </w:t>
            </w:r>
            <w:r w:rsidR="00B70C3A">
              <w:rPr>
                <w:rFonts w:ascii="Arial" w:hAnsi="Arial" w:cs="Arial"/>
                <w:sz w:val="20"/>
              </w:rPr>
              <w:t xml:space="preserve">of </w:t>
            </w:r>
            <w:r>
              <w:rPr>
                <w:rFonts w:ascii="Arial" w:hAnsi="Arial" w:cs="Arial"/>
                <w:sz w:val="20"/>
              </w:rPr>
              <w:t>votes</w:t>
            </w:r>
          </w:p>
        </w:tc>
      </w:tr>
      <w:tr w:rsidR="00B70C3A" w:rsidTr="00877FC5">
        <w:trPr>
          <w:jc w:val="center"/>
        </w:trPr>
        <w:tc>
          <w:tcPr>
            <w:tcW w:w="630" w:type="dxa"/>
          </w:tcPr>
          <w:p w:rsidR="00FC1DEA" w:rsidRDefault="00B70C3A" w:rsidP="00877FC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32" w:type="dxa"/>
          </w:tcPr>
          <w:p w:rsidR="00FC1DEA" w:rsidRDefault="00B70C3A" w:rsidP="00FC1DE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Mr. Tran </w:t>
            </w:r>
            <w:proofErr w:type="spellStart"/>
            <w:r>
              <w:rPr>
                <w:rFonts w:ascii="Arial" w:hAnsi="Arial" w:cs="Arial"/>
                <w:sz w:val="20"/>
              </w:rPr>
              <w:t>Duc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Du</w:t>
            </w:r>
          </w:p>
        </w:tc>
        <w:tc>
          <w:tcPr>
            <w:tcW w:w="2160" w:type="dxa"/>
          </w:tcPr>
          <w:p w:rsidR="00FC1DEA" w:rsidRDefault="00B70C3A" w:rsidP="00877FC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3.624.382</w:t>
            </w:r>
          </w:p>
        </w:tc>
      </w:tr>
      <w:tr w:rsidR="00B70C3A" w:rsidTr="00877FC5">
        <w:trPr>
          <w:jc w:val="center"/>
        </w:trPr>
        <w:tc>
          <w:tcPr>
            <w:tcW w:w="630" w:type="dxa"/>
          </w:tcPr>
          <w:p w:rsidR="00FC1DEA" w:rsidRDefault="00B70C3A" w:rsidP="00877FC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32" w:type="dxa"/>
          </w:tcPr>
          <w:p w:rsidR="00FC1DEA" w:rsidRDefault="00B70C3A" w:rsidP="00FC1DE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Mr. Nguyen </w:t>
            </w:r>
            <w:proofErr w:type="spellStart"/>
            <w:r>
              <w:rPr>
                <w:rFonts w:ascii="Arial" w:hAnsi="Arial" w:cs="Arial"/>
                <w:sz w:val="20"/>
              </w:rPr>
              <w:t>Trong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Thuy</w:t>
            </w:r>
            <w:proofErr w:type="spellEnd"/>
          </w:p>
        </w:tc>
        <w:tc>
          <w:tcPr>
            <w:tcW w:w="2160" w:type="dxa"/>
          </w:tcPr>
          <w:p w:rsidR="00FC1DEA" w:rsidRDefault="00B70C3A" w:rsidP="00877FC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3.334.557</w:t>
            </w:r>
          </w:p>
        </w:tc>
      </w:tr>
      <w:tr w:rsidR="00B70C3A" w:rsidTr="00877FC5">
        <w:trPr>
          <w:jc w:val="center"/>
        </w:trPr>
        <w:tc>
          <w:tcPr>
            <w:tcW w:w="630" w:type="dxa"/>
          </w:tcPr>
          <w:p w:rsidR="00FC1DEA" w:rsidRDefault="00B70C3A" w:rsidP="00877FC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32" w:type="dxa"/>
          </w:tcPr>
          <w:p w:rsidR="00FC1DEA" w:rsidRDefault="00B70C3A" w:rsidP="00FC1DE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Mr. Dao </w:t>
            </w:r>
            <w:proofErr w:type="spellStart"/>
            <w:r>
              <w:rPr>
                <w:rFonts w:ascii="Arial" w:hAnsi="Arial" w:cs="Arial"/>
                <w:sz w:val="20"/>
              </w:rPr>
              <w:t>Thanh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Liem</w:t>
            </w:r>
            <w:proofErr w:type="spellEnd"/>
          </w:p>
        </w:tc>
        <w:tc>
          <w:tcPr>
            <w:tcW w:w="2160" w:type="dxa"/>
          </w:tcPr>
          <w:p w:rsidR="00FC1DEA" w:rsidRDefault="00B70C3A" w:rsidP="00877FC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3.308.232</w:t>
            </w:r>
          </w:p>
        </w:tc>
      </w:tr>
      <w:tr w:rsidR="00B70C3A" w:rsidTr="00877FC5">
        <w:trPr>
          <w:jc w:val="center"/>
        </w:trPr>
        <w:tc>
          <w:tcPr>
            <w:tcW w:w="630" w:type="dxa"/>
          </w:tcPr>
          <w:p w:rsidR="00FC1DEA" w:rsidRDefault="00B70C3A" w:rsidP="00877FC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32" w:type="dxa"/>
          </w:tcPr>
          <w:p w:rsidR="00FC1DEA" w:rsidRDefault="00B70C3A" w:rsidP="00FC1DE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Mr. Doan </w:t>
            </w:r>
            <w:proofErr w:type="spellStart"/>
            <w:r>
              <w:rPr>
                <w:rFonts w:ascii="Arial" w:hAnsi="Arial" w:cs="Arial"/>
                <w:sz w:val="20"/>
              </w:rPr>
              <w:t>Manh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Kien</w:t>
            </w:r>
            <w:proofErr w:type="spellEnd"/>
          </w:p>
        </w:tc>
        <w:tc>
          <w:tcPr>
            <w:tcW w:w="2160" w:type="dxa"/>
          </w:tcPr>
          <w:p w:rsidR="00FC1DEA" w:rsidRDefault="00B70C3A" w:rsidP="00877FC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3.334.662</w:t>
            </w:r>
          </w:p>
        </w:tc>
      </w:tr>
      <w:tr w:rsidR="00B70C3A" w:rsidTr="00877FC5">
        <w:trPr>
          <w:jc w:val="center"/>
        </w:trPr>
        <w:tc>
          <w:tcPr>
            <w:tcW w:w="630" w:type="dxa"/>
          </w:tcPr>
          <w:p w:rsidR="00FC1DEA" w:rsidRDefault="00B70C3A" w:rsidP="00877FC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32" w:type="dxa"/>
          </w:tcPr>
          <w:p w:rsidR="00FC1DEA" w:rsidRDefault="00B70C3A" w:rsidP="00FC1DE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Mrs. Pham </w:t>
            </w:r>
            <w:proofErr w:type="spellStart"/>
            <w:r>
              <w:rPr>
                <w:rFonts w:ascii="Arial" w:hAnsi="Arial" w:cs="Arial"/>
                <w:sz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Ngoc </w:t>
            </w:r>
            <w:proofErr w:type="spellStart"/>
            <w:r>
              <w:rPr>
                <w:rFonts w:ascii="Arial" w:hAnsi="Arial" w:cs="Arial"/>
                <w:sz w:val="20"/>
              </w:rPr>
              <w:t>Anh</w:t>
            </w:r>
            <w:proofErr w:type="spellEnd"/>
          </w:p>
        </w:tc>
        <w:tc>
          <w:tcPr>
            <w:tcW w:w="2160" w:type="dxa"/>
          </w:tcPr>
          <w:p w:rsidR="00FC1DEA" w:rsidRDefault="00B70C3A" w:rsidP="00877FC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3.988.202</w:t>
            </w:r>
          </w:p>
        </w:tc>
      </w:tr>
    </w:tbl>
    <w:p w:rsidR="00FC1DEA" w:rsidRDefault="00877FC5" w:rsidP="00877FC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Board of Supervisors: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4032"/>
        <w:gridCol w:w="2160"/>
      </w:tblGrid>
      <w:tr w:rsidR="00877FC5" w:rsidTr="00885DE9">
        <w:trPr>
          <w:jc w:val="center"/>
        </w:trPr>
        <w:tc>
          <w:tcPr>
            <w:tcW w:w="630" w:type="dxa"/>
          </w:tcPr>
          <w:p w:rsidR="00877FC5" w:rsidRDefault="00877FC5" w:rsidP="00885DE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4032" w:type="dxa"/>
          </w:tcPr>
          <w:p w:rsidR="00877FC5" w:rsidRDefault="00877FC5" w:rsidP="00885DE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2160" w:type="dxa"/>
          </w:tcPr>
          <w:p w:rsidR="00877FC5" w:rsidRDefault="00877FC5" w:rsidP="00885DE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of votes</w:t>
            </w:r>
          </w:p>
        </w:tc>
      </w:tr>
      <w:tr w:rsidR="00877FC5" w:rsidTr="00885DE9">
        <w:trPr>
          <w:jc w:val="center"/>
        </w:trPr>
        <w:tc>
          <w:tcPr>
            <w:tcW w:w="630" w:type="dxa"/>
          </w:tcPr>
          <w:p w:rsidR="00877FC5" w:rsidRDefault="00877FC5" w:rsidP="00885DE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32" w:type="dxa"/>
          </w:tcPr>
          <w:p w:rsidR="00877FC5" w:rsidRDefault="00877FC5" w:rsidP="00885DE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Mrs. Pham Hong </w:t>
            </w:r>
            <w:proofErr w:type="spellStart"/>
            <w:r>
              <w:rPr>
                <w:rFonts w:ascii="Arial" w:hAnsi="Arial" w:cs="Arial"/>
                <w:sz w:val="20"/>
              </w:rPr>
              <w:t>Anh</w:t>
            </w:r>
            <w:proofErr w:type="spellEnd"/>
          </w:p>
        </w:tc>
        <w:tc>
          <w:tcPr>
            <w:tcW w:w="2160" w:type="dxa"/>
          </w:tcPr>
          <w:p w:rsidR="00877FC5" w:rsidRDefault="00877FC5" w:rsidP="00885DE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3.346.113</w:t>
            </w:r>
          </w:p>
        </w:tc>
      </w:tr>
      <w:tr w:rsidR="00877FC5" w:rsidTr="00885DE9">
        <w:trPr>
          <w:jc w:val="center"/>
        </w:trPr>
        <w:tc>
          <w:tcPr>
            <w:tcW w:w="630" w:type="dxa"/>
          </w:tcPr>
          <w:p w:rsidR="00877FC5" w:rsidRDefault="00877FC5" w:rsidP="00885DE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</w:t>
            </w:r>
          </w:p>
        </w:tc>
        <w:tc>
          <w:tcPr>
            <w:tcW w:w="4032" w:type="dxa"/>
          </w:tcPr>
          <w:p w:rsidR="00877FC5" w:rsidRDefault="00877FC5" w:rsidP="00885DE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Mr. Nguyen Minh </w:t>
            </w:r>
            <w:proofErr w:type="spellStart"/>
            <w:r>
              <w:rPr>
                <w:rFonts w:ascii="Arial" w:hAnsi="Arial" w:cs="Arial"/>
                <w:sz w:val="20"/>
              </w:rPr>
              <w:t>Khiem</w:t>
            </w:r>
            <w:proofErr w:type="spellEnd"/>
          </w:p>
        </w:tc>
        <w:tc>
          <w:tcPr>
            <w:tcW w:w="2160" w:type="dxa"/>
          </w:tcPr>
          <w:p w:rsidR="00877FC5" w:rsidRDefault="00877FC5" w:rsidP="00885DE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3.633.728</w:t>
            </w:r>
          </w:p>
        </w:tc>
      </w:tr>
      <w:tr w:rsidR="00877FC5" w:rsidTr="00885DE9">
        <w:trPr>
          <w:jc w:val="center"/>
        </w:trPr>
        <w:tc>
          <w:tcPr>
            <w:tcW w:w="630" w:type="dxa"/>
          </w:tcPr>
          <w:p w:rsidR="00877FC5" w:rsidRDefault="00877FC5" w:rsidP="00885DE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32" w:type="dxa"/>
          </w:tcPr>
          <w:p w:rsidR="00877FC5" w:rsidRDefault="00877FC5" w:rsidP="00885DE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Mrs. Pham Kim </w:t>
            </w:r>
            <w:proofErr w:type="spellStart"/>
            <w:r>
              <w:rPr>
                <w:rFonts w:ascii="Arial" w:hAnsi="Arial" w:cs="Arial"/>
                <w:sz w:val="20"/>
              </w:rPr>
              <w:t>Anh</w:t>
            </w:r>
            <w:proofErr w:type="spellEnd"/>
          </w:p>
        </w:tc>
        <w:tc>
          <w:tcPr>
            <w:tcW w:w="2160" w:type="dxa"/>
          </w:tcPr>
          <w:p w:rsidR="00877FC5" w:rsidRDefault="00877FC5" w:rsidP="00885DE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3.431.830</w:t>
            </w:r>
          </w:p>
        </w:tc>
      </w:tr>
    </w:tbl>
    <w:p w:rsidR="00877FC5" w:rsidRDefault="00877FC5" w:rsidP="00877FC5">
      <w:pPr>
        <w:jc w:val="both"/>
        <w:rPr>
          <w:rFonts w:ascii="Arial" w:hAnsi="Arial" w:cs="Arial"/>
          <w:sz w:val="20"/>
        </w:rPr>
      </w:pPr>
    </w:p>
    <w:p w:rsidR="00877FC5" w:rsidRDefault="00877FC5" w:rsidP="00877FC5">
      <w:pPr>
        <w:jc w:val="both"/>
        <w:rPr>
          <w:rFonts w:ascii="Arial" w:hAnsi="Arial" w:cs="Arial"/>
          <w:sz w:val="20"/>
        </w:rPr>
      </w:pPr>
      <w:r w:rsidRPr="00513B2E">
        <w:rPr>
          <w:rFonts w:ascii="Arial" w:hAnsi="Arial" w:cs="Arial"/>
          <w:b/>
          <w:sz w:val="20"/>
        </w:rPr>
        <w:t>Article 10:</w:t>
      </w:r>
      <w:r>
        <w:rPr>
          <w:rFonts w:ascii="Arial" w:hAnsi="Arial" w:cs="Arial"/>
          <w:sz w:val="20"/>
        </w:rPr>
        <w:t xml:space="preserve"> Terms of enforcement</w:t>
      </w:r>
    </w:p>
    <w:p w:rsidR="00877FC5" w:rsidRDefault="00FA5A42" w:rsidP="00877F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Resolution is valid from the signing date. All shareholders, members of Board of Directors &amp; Supervisors, General Directors shall take </w:t>
      </w:r>
      <w:r w:rsidR="00066073">
        <w:rPr>
          <w:rFonts w:ascii="Arial" w:hAnsi="Arial" w:cs="Arial"/>
          <w:sz w:val="20"/>
        </w:rPr>
        <w:t>responsibilities</w:t>
      </w:r>
      <w:r>
        <w:rPr>
          <w:rFonts w:ascii="Arial" w:hAnsi="Arial" w:cs="Arial"/>
          <w:sz w:val="20"/>
        </w:rPr>
        <w:t xml:space="preserve"> to implement this Resolution.</w:t>
      </w:r>
    </w:p>
    <w:p w:rsidR="00FA5A42" w:rsidRPr="00877FC5" w:rsidRDefault="00FA5A42" w:rsidP="00877F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Assign Board of Directors &amp; Supervisors to organize &amp; implement correctly contents of Resolution under</w:t>
      </w:r>
      <w:r w:rsidR="00513B2E">
        <w:rPr>
          <w:rFonts w:ascii="Arial" w:hAnsi="Arial" w:cs="Arial"/>
          <w:sz w:val="20"/>
        </w:rPr>
        <w:t xml:space="preserve"> regulations of law and Company’s charters.</w:t>
      </w:r>
    </w:p>
    <w:sectPr w:rsidR="00FA5A42" w:rsidRPr="00877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A0293"/>
    <w:multiLevelType w:val="hybridMultilevel"/>
    <w:tmpl w:val="EAD0E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37E49"/>
    <w:multiLevelType w:val="hybridMultilevel"/>
    <w:tmpl w:val="3DFECBBA"/>
    <w:lvl w:ilvl="0" w:tplc="12D271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919C3"/>
    <w:multiLevelType w:val="hybridMultilevel"/>
    <w:tmpl w:val="39E0CC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15EA4"/>
    <w:multiLevelType w:val="hybridMultilevel"/>
    <w:tmpl w:val="B2AABF2A"/>
    <w:lvl w:ilvl="0" w:tplc="C364606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7764EC"/>
    <w:multiLevelType w:val="hybridMultilevel"/>
    <w:tmpl w:val="470E5A66"/>
    <w:lvl w:ilvl="0" w:tplc="0324BD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778C7"/>
    <w:multiLevelType w:val="hybridMultilevel"/>
    <w:tmpl w:val="2162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0F"/>
    <w:rsid w:val="00066073"/>
    <w:rsid w:val="000A64DA"/>
    <w:rsid w:val="000F571D"/>
    <w:rsid w:val="00117810"/>
    <w:rsid w:val="001A08CE"/>
    <w:rsid w:val="001B52F8"/>
    <w:rsid w:val="001D0B98"/>
    <w:rsid w:val="001E4C0F"/>
    <w:rsid w:val="001F020E"/>
    <w:rsid w:val="00227709"/>
    <w:rsid w:val="00291106"/>
    <w:rsid w:val="002A7541"/>
    <w:rsid w:val="002B66D1"/>
    <w:rsid w:val="002C32FA"/>
    <w:rsid w:val="002C69DC"/>
    <w:rsid w:val="00370F27"/>
    <w:rsid w:val="003A17F7"/>
    <w:rsid w:val="003E0801"/>
    <w:rsid w:val="003E1235"/>
    <w:rsid w:val="00412C18"/>
    <w:rsid w:val="0047415A"/>
    <w:rsid w:val="0049098D"/>
    <w:rsid w:val="004D379D"/>
    <w:rsid w:val="00513B2E"/>
    <w:rsid w:val="005509B8"/>
    <w:rsid w:val="0057089E"/>
    <w:rsid w:val="005774D1"/>
    <w:rsid w:val="00582941"/>
    <w:rsid w:val="0059623C"/>
    <w:rsid w:val="005C533F"/>
    <w:rsid w:val="005D1E0E"/>
    <w:rsid w:val="005D7106"/>
    <w:rsid w:val="007054CB"/>
    <w:rsid w:val="0076578B"/>
    <w:rsid w:val="00773287"/>
    <w:rsid w:val="007A04E0"/>
    <w:rsid w:val="00830512"/>
    <w:rsid w:val="0083603D"/>
    <w:rsid w:val="00841BF5"/>
    <w:rsid w:val="00863566"/>
    <w:rsid w:val="00870593"/>
    <w:rsid w:val="00877FC5"/>
    <w:rsid w:val="008D3DFD"/>
    <w:rsid w:val="009213F9"/>
    <w:rsid w:val="009C19F7"/>
    <w:rsid w:val="00A050A4"/>
    <w:rsid w:val="00A05440"/>
    <w:rsid w:val="00A32D86"/>
    <w:rsid w:val="00A77452"/>
    <w:rsid w:val="00A86C59"/>
    <w:rsid w:val="00B0479E"/>
    <w:rsid w:val="00B24970"/>
    <w:rsid w:val="00B70C3A"/>
    <w:rsid w:val="00B84905"/>
    <w:rsid w:val="00B93AD8"/>
    <w:rsid w:val="00B95541"/>
    <w:rsid w:val="00BF6C4B"/>
    <w:rsid w:val="00C002B9"/>
    <w:rsid w:val="00C22518"/>
    <w:rsid w:val="00CA3FDC"/>
    <w:rsid w:val="00D551DB"/>
    <w:rsid w:val="00D618E8"/>
    <w:rsid w:val="00D975A4"/>
    <w:rsid w:val="00DF56A1"/>
    <w:rsid w:val="00E8006A"/>
    <w:rsid w:val="00F312B0"/>
    <w:rsid w:val="00F70484"/>
    <w:rsid w:val="00FA5A42"/>
    <w:rsid w:val="00FB7912"/>
    <w:rsid w:val="00FC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A38E90-A859-44D2-BDF9-9B96FAED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2F8"/>
    <w:pPr>
      <w:ind w:left="720"/>
      <w:contextualSpacing/>
    </w:pPr>
  </w:style>
  <w:style w:type="table" w:styleId="TableGrid">
    <w:name w:val="Table Grid"/>
    <w:basedOn w:val="TableNormal"/>
    <w:uiPriority w:val="59"/>
    <w:rsid w:val="003E1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17</cp:revision>
  <dcterms:created xsi:type="dcterms:W3CDTF">2017-05-16T04:54:00Z</dcterms:created>
  <dcterms:modified xsi:type="dcterms:W3CDTF">2017-05-16T07:59:00Z</dcterms:modified>
</cp:coreProperties>
</file>